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1337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1337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субсидии, поступающей на реализацию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 по созданию условий для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развития физической культуры 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массового спорта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139 Бюджетного кодекса Российской Федерации и приложением № 11 «Порядок предоставления и распределения субсидий из областного бюджета бюджетам муниципальных районов и городских округов Воронежской области на реализацию мероприятий по созданию условий для развития физической культуры и массового спорта»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на реализацию мероприятий по созданию условий для развития физической культуры и массового спорта.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управление физической культуры и спорта администрации городского округа город Воронеж уполномоченным органом по расходованию субсидии, поступающей на реализацию мероприятий по созданию условий для развития физической культуры и массового спорта.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вступает в силу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Признать утратившим силу постановление администрации городского округа город Воронеж от 18.05.2021 № 455 «Об утверждении Порядка расходования субсидии, поступающей из бюджета Воронежской области бюджету городского округа город Воронеж на проведение мероприятий по созданию условий для развития физической культуры и массового спорта».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